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51 vom 27. Januar 2021</w:t>
      </w:r>
    </w:p>
    <w:p>
      <w:r>
        <w:t>GR Gerichte, 2021-01-27, DE</w:t>
      </w:r>
    </w:p>
    <w:p>
      <w:r>
        <w:rPr>
          <w:b/>
        </w:rPr>
        <w:t xml:space="preserve">Quelle: </w:t>
      </w:r>
      <w:r>
        <w:t>https://mcp.opencaselaw.ch/entscheid/gr_gerichte_SK2 2020 51</w:t>
      </w:r>
    </w:p>
    <w:p>
      <w:r>
        <w:t>FR: GR_GERICHTE SK2 2020 51 du 27 janvier 2021</w:t>
      </w:r>
    </w:p>
    <w:p>
      <w:r>
        <w:t>IT: GR_GERICHTE SK2 2020 51 del 27 gennaio 2021</w:t>
      </w:r>
    </w:p>
    <w:p>
      <w:pPr>
        <w:pStyle w:val="Heading2"/>
      </w:pPr>
      <w:r>
        <w:t>Regeste</w:t>
      </w:r>
    </w:p>
    <w:p>
      <w:r>
        <w:t>Täuschung der Behörden | Beschwerde gegen StA, Einstellungsverfügung</w:t>
      </w:r>
    </w:p>
    <w:p>
      <w:pPr>
        <w:pStyle w:val="Heading2"/>
      </w:pPr>
      <w:r>
        <w:t>Erwägungen</w:t>
      </w:r>
    </w:p>
    <w:p>
      <w:r>
        <w:rPr>
          <w:b/>
        </w:rPr>
        <w:t>E. 7</w:t>
      </w:r>
    </w:p>
    <w:p>
      <w:r>
        <w:t>/ 9 auf den Vertrauensschutz berufen kann. Obwohl die Vorinstanz diesen Umstand offenbar als wesentlich erachtete – bildete er doch einen zentralen Punkt des Un- tersuchungsverfahrens – blieb diese Frage ungeklärt. Jedenfalls finden sich hierzu weder im angefochtenen Entscheid noch in der Beschwerdeantwort der Staatsan- waltschaft irgendwelche Ausführungen. Demzufolge haben wir es nicht mehr mit klaren rechtlichen Verhältnissen zu tun. Ausserdem dürfte eine Verletzung des rechtlichen Gehörs vorliegen, zumal der Beschwerdeführer während des gesam- ten Verfahrens, und implizite auch im Beschwerdeverfahren (vgl. act. A.1 und Ak- ten Staatsanwaltschaft, act. 1.14 und 1.38), auf den Umstand der Beratung durch den Gemeindeschreiber hinwies und die Staatsanwaltschaft im angefochtenen Entscheid mit keinem Wort darauf einging. 3.2.3. Zusammenfassend ist die Beschwerde in diesem Punkt gutzuheissen und Ziffer 2 Satz 1 der angefochtenen Verfügung ist aufzuheben, da die Kostenauflage gegen die Unschuldsvermutung verstösst und in rechtlicher Hinsicht keine klaren Verhältnisse vorliegen. Damit muss auch nicht weiter auf die vom Beschwerdefüh- rer aufgeworfene Frage eingegangen werden, ob nach Verjährungseintritt durch die Staatsanwaltschaft unnötige Verfahrenskosten generiert wurden. 3.3. Soweit die Staatsanwaltschaft mit der angefochtenen Verfügung die Zu- sprechung einer Entschädigung an den Beschwerdeführer verweigerte, ist die Be- schwerde hingegen abzuweisen. Nebst der – wie gesehen nicht zutreffenden – Begründung über Art. 430 Abs. 1 lit. a in Verbindung mit Art. 426 Abs. 2 StPO weist die Staatsanwaltschaft in ihrer Beschwerdeantwort vom 20. November 2020 zu Recht darauf hin, dass sich den Akten kein Aufwand für eine anwaltliche Ver- tretung des Beschwerdeführers entnehmen lässt. Ebenfalls ist den Ausführungen beizupflichten, wonach für blossen Zeit- und Arbeitsaufwand der nicht anwaltlich vertretenen Partei kein Anspruch auf Entschädigung besteht und es der Be- schwerdeführer im Übrigen unterlassen hat, seine Aufwendungen zu belegen (vgl. act. A.2, S. 2 Ziff. 2). Demnach ist die Beschwerde, soweit sie sich gegen Ziffer 2 Satz 2 der angefoch- tenen Verfügung der Staatsanwaltschaft vom 27. Oktober 2020 richtet, abzuwei- sen. 4. In Anwendung von Art. 8 der kantonalen Verordnung über die Gerichtsge- bühren im Strafverfahren (VGS; BR 350.210) werden die Kosten des Beschwer- deverfahrens auf CHF 1'500.00 festgesetzt. Die Parteien tragen die Kosten gemäss Art. 428 Abs. 1 StPO nach Massgabe ihres Obsiegens oder Unterliegens. Entsprechend dem Ausgang des vorliegenden Verfahrens, in welchem der Be-</w:t>
      </w:r>
    </w:p>
    <w:p>
      <w:r>
        <w:rPr>
          <w:b/>
        </w:rPr>
        <w:t>E. 8</w:t>
      </w:r>
    </w:p>
    <w:p>
      <w:r>
        <w:t>/ 9 schwerdeführer mit seinem Antrag betreffend Auferlegung der Verfahrenskosten von CHF 1'162.50 an den Staat durchgedrungen ist, betreffend der Zusprechung einer Entschädigung von CHF 900.00 jedoch unterlegen ist, sind die Verfahrens- kosten in Relation zu den Beträgen und dem für die Bearbeitung der beiden Teil- fragen entstandenen Aufwand zu zwei Dritteln dem Kanton Graubünden und zu einem Drittel dem Beschwerdeführer aufzuerlegen. Schliesslich wird auch für das Beschwerdeverfahren keine Parteientschädigung zugesprochen, da der Be- schwerdeführer nicht anwaltlich vertreten ist und ansonsten keinen entschädi- gungsberechtigen Aufwand nachwies.</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